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A1" w:rsidRPr="00177FBF" w:rsidRDefault="004001A1" w:rsidP="004001A1">
      <w:pPr>
        <w:rPr>
          <w:rFonts w:ascii="Tahoma" w:hAnsi="Tahoma" w:cs="Tahoma"/>
          <w:i/>
          <w:sz w:val="18"/>
          <w:szCs w:val="18"/>
          <w:lang w:val="es-ES"/>
        </w:rPr>
      </w:pPr>
      <w:r w:rsidRPr="00177FBF">
        <w:rPr>
          <w:rFonts w:ascii="Tahoma" w:hAnsi="Tahoma" w:cs="Tahoma"/>
          <w:b/>
          <w:sz w:val="18"/>
          <w:szCs w:val="18"/>
          <w:lang w:val="es-ES"/>
        </w:rPr>
        <w:t xml:space="preserve">MUNICIPIUL CURTEA DE ARGES </w:t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  <w:t xml:space="preserve">    </w:t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</w:p>
    <w:p w:rsidR="004001A1" w:rsidRPr="00177FBF" w:rsidRDefault="004001A1" w:rsidP="004001A1">
      <w:pPr>
        <w:pStyle w:val="Titlu3"/>
        <w:jc w:val="left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b/>
          <w:sz w:val="18"/>
          <w:szCs w:val="18"/>
          <w:lang w:val="es-ES"/>
        </w:rPr>
        <w:t xml:space="preserve">CONSILIUL LOCAL          </w:t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  <w:t xml:space="preserve">    </w:t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</w:p>
    <w:p w:rsidR="004001A1" w:rsidRPr="00177FBF" w:rsidRDefault="004001A1" w:rsidP="004001A1">
      <w:pPr>
        <w:pStyle w:val="Titlu5"/>
        <w:jc w:val="left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bookmarkStart w:id="0" w:name="_GoBack"/>
      <w:bookmarkEnd w:id="0"/>
      <w:r w:rsidRPr="00177FBF">
        <w:rPr>
          <w:rFonts w:ascii="Tahoma" w:hAnsi="Tahoma" w:cs="Tahoma"/>
          <w:sz w:val="18"/>
          <w:szCs w:val="18"/>
          <w:lang w:val="es-ES"/>
        </w:rPr>
        <w:tab/>
      </w:r>
    </w:p>
    <w:p w:rsidR="004001A1" w:rsidRPr="00177FBF" w:rsidRDefault="004001A1" w:rsidP="004001A1">
      <w:pPr>
        <w:rPr>
          <w:rFonts w:ascii="Tahoma" w:hAnsi="Tahoma" w:cs="Tahoma"/>
          <w:b/>
          <w:color w:val="000000"/>
          <w:sz w:val="18"/>
          <w:szCs w:val="18"/>
          <w:lang w:val="es-ES"/>
        </w:rPr>
      </w:pPr>
    </w:p>
    <w:p w:rsidR="004001A1" w:rsidRPr="00177FBF" w:rsidRDefault="004001A1" w:rsidP="004001A1">
      <w:pPr>
        <w:pStyle w:val="Titlu5"/>
        <w:rPr>
          <w:rFonts w:ascii="Tahoma" w:hAnsi="Tahoma" w:cs="Tahoma"/>
          <w:b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t>HOTARARE  nr. 88</w:t>
      </w:r>
      <w:r w:rsidRPr="00177FBF">
        <w:rPr>
          <w:rFonts w:ascii="Tahoma" w:hAnsi="Tahoma" w:cs="Tahoma"/>
          <w:b/>
          <w:sz w:val="18"/>
          <w:szCs w:val="18"/>
          <w:lang w:val="es-ES"/>
        </w:rPr>
        <w:t xml:space="preserve"> / 2015</w:t>
      </w:r>
    </w:p>
    <w:p w:rsidR="004001A1" w:rsidRPr="00177FBF" w:rsidRDefault="004001A1" w:rsidP="004001A1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b/>
          <w:sz w:val="18"/>
          <w:szCs w:val="18"/>
          <w:lang w:val="es-ES"/>
        </w:rPr>
        <w:t xml:space="preserve">pentru rectificarea Bugetului local pe anul 2015 </w:t>
      </w:r>
    </w:p>
    <w:p w:rsidR="004001A1" w:rsidRPr="00177FBF" w:rsidRDefault="004001A1" w:rsidP="004001A1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b/>
          <w:sz w:val="18"/>
          <w:szCs w:val="18"/>
          <w:lang w:val="es-ES"/>
        </w:rPr>
        <w:t>si a Bugetului institutiilor finantate integral sau partial din venituri proprii</w:t>
      </w:r>
    </w:p>
    <w:p w:rsidR="004001A1" w:rsidRDefault="004001A1" w:rsidP="004001A1">
      <w:pPr>
        <w:rPr>
          <w:rFonts w:ascii="Tahoma" w:hAnsi="Tahoma" w:cs="Tahoma"/>
          <w:b/>
          <w:sz w:val="18"/>
          <w:szCs w:val="18"/>
          <w:lang w:val="es-ES"/>
        </w:rPr>
      </w:pPr>
    </w:p>
    <w:p w:rsidR="004001A1" w:rsidRDefault="004001A1" w:rsidP="004001A1">
      <w:pPr>
        <w:rPr>
          <w:rFonts w:ascii="Tahoma" w:hAnsi="Tahoma" w:cs="Tahoma"/>
          <w:b/>
          <w:sz w:val="18"/>
          <w:szCs w:val="18"/>
          <w:lang w:val="es-ES"/>
        </w:rPr>
      </w:pPr>
    </w:p>
    <w:p w:rsidR="004001A1" w:rsidRPr="00177FBF" w:rsidRDefault="004001A1" w:rsidP="004001A1">
      <w:pPr>
        <w:rPr>
          <w:rFonts w:ascii="Tahoma" w:hAnsi="Tahoma" w:cs="Tahoma"/>
          <w:b/>
          <w:sz w:val="18"/>
          <w:szCs w:val="18"/>
          <w:lang w:val="es-ES"/>
        </w:rPr>
      </w:pP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Consiliul Local al Municipiului Curtea de Arges;</w:t>
      </w:r>
    </w:p>
    <w:p w:rsidR="004001A1" w:rsidRPr="00177FBF" w:rsidRDefault="004001A1" w:rsidP="004001A1">
      <w:pPr>
        <w:ind w:firstLine="708"/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 xml:space="preserve"> Avand in vedere: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-Referatul Directiei economice  nr. 24262/24.09.2015;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-Prevederile Legii finantelor publice locale nr. 273/2006;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-Dispozitiile art. 30 alin. 1 lit. c din Legea nr. 24/2000 privind normele de tehnica legislativa pentru elaborarea actelor normative;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-Avizul Comisiei economice.</w:t>
      </w:r>
    </w:p>
    <w:p w:rsidR="004001A1" w:rsidRPr="00177FBF" w:rsidRDefault="004001A1" w:rsidP="004001A1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177FBF">
        <w:rPr>
          <w:rFonts w:ascii="Tahoma" w:hAnsi="Tahoma" w:cs="Tahoma"/>
          <w:sz w:val="18"/>
          <w:szCs w:val="18"/>
        </w:rPr>
        <w:t xml:space="preserve">In temeiul art. 36 alin. 4 lit. a coroborat cu prevederile art. 45 alin. 2 din Legea  215/2001 </w:t>
      </w:r>
    </w:p>
    <w:p w:rsidR="004001A1" w:rsidRPr="00177FBF" w:rsidRDefault="004001A1" w:rsidP="004001A1">
      <w:pPr>
        <w:pStyle w:val="Corptext"/>
        <w:rPr>
          <w:rFonts w:ascii="Tahoma" w:hAnsi="Tahoma" w:cs="Tahoma"/>
          <w:sz w:val="18"/>
          <w:szCs w:val="18"/>
          <w:lang w:val="en-GB"/>
        </w:rPr>
      </w:pPr>
    </w:p>
    <w:p w:rsidR="004001A1" w:rsidRPr="00177FBF" w:rsidRDefault="004001A1" w:rsidP="004001A1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b/>
          <w:sz w:val="18"/>
          <w:szCs w:val="18"/>
          <w:lang w:val="es-ES"/>
        </w:rPr>
        <w:t>hotaraste :</w:t>
      </w:r>
    </w:p>
    <w:p w:rsidR="004001A1" w:rsidRPr="00177FBF" w:rsidRDefault="004001A1" w:rsidP="004001A1">
      <w:pPr>
        <w:rPr>
          <w:rFonts w:ascii="Tahoma" w:hAnsi="Tahoma" w:cs="Tahoma"/>
          <w:b/>
          <w:sz w:val="18"/>
          <w:szCs w:val="18"/>
          <w:lang w:val="es-ES"/>
        </w:rPr>
      </w:pP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r w:rsidRPr="00177FBF">
        <w:rPr>
          <w:rFonts w:ascii="Tahoma" w:hAnsi="Tahoma" w:cs="Tahoma"/>
          <w:b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u w:val="single"/>
          <w:lang w:val="es-ES"/>
        </w:rPr>
        <w:t>Art. 1</w:t>
      </w:r>
      <w:r w:rsidRPr="00177FBF">
        <w:rPr>
          <w:rFonts w:ascii="Tahoma" w:hAnsi="Tahoma" w:cs="Tahoma"/>
          <w:b/>
          <w:sz w:val="18"/>
          <w:szCs w:val="18"/>
          <w:lang w:val="es-ES"/>
        </w:rPr>
        <w:t xml:space="preserve"> (1) </w:t>
      </w:r>
      <w:r w:rsidRPr="00177FBF">
        <w:rPr>
          <w:rFonts w:ascii="Tahoma" w:hAnsi="Tahoma" w:cs="Tahoma"/>
          <w:sz w:val="18"/>
          <w:szCs w:val="18"/>
          <w:lang w:val="es-ES"/>
        </w:rPr>
        <w:t>Se aproba rectificarea Bugetului local pe anul 2015 dupa cum urmeaza: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u w:val="single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u w:val="single"/>
          <w:lang w:val="es-ES"/>
        </w:rPr>
        <w:t xml:space="preserve">Sectiunea de functionare 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>Venituri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-Donatii si sponsorizari (37.02.01)</w:t>
      </w:r>
      <w:r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  <w:t>+10 mii lei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>Cheltuieli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 xml:space="preserve">-La Cap. 54.02 “Actiuni generale” se aloca din fondul de rezerva suma de 140 mii lei pentru cheltuieli curente </w:t>
      </w:r>
      <w:r>
        <w:rPr>
          <w:rFonts w:ascii="Tahoma" w:hAnsi="Tahoma" w:cs="Tahoma"/>
          <w:sz w:val="18"/>
          <w:szCs w:val="18"/>
          <w:lang w:val="es-ES"/>
        </w:rPr>
        <w:t>nominali</w:t>
      </w:r>
      <w:r w:rsidRPr="00177FBF">
        <w:rPr>
          <w:rFonts w:ascii="Tahoma" w:hAnsi="Tahoma" w:cs="Tahoma"/>
          <w:sz w:val="18"/>
          <w:szCs w:val="18"/>
          <w:lang w:val="es-ES"/>
        </w:rPr>
        <w:t>zate mai jos;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-Cap. 51.02 “Autoritati executive” creditele buge</w:t>
      </w:r>
      <w:r>
        <w:rPr>
          <w:rFonts w:ascii="Tahoma" w:hAnsi="Tahoma" w:cs="Tahoma"/>
          <w:sz w:val="18"/>
          <w:szCs w:val="18"/>
          <w:lang w:val="es-ES"/>
        </w:rPr>
        <w:t xml:space="preserve">tare se majoreaza la art. 20.11 - </w:t>
      </w:r>
      <w:r w:rsidRPr="00177FBF">
        <w:rPr>
          <w:rFonts w:ascii="Tahoma" w:hAnsi="Tahoma" w:cs="Tahoma"/>
          <w:sz w:val="18"/>
          <w:szCs w:val="18"/>
          <w:lang w:val="es-ES"/>
        </w:rPr>
        <w:t>Carti si publicatii cu suma de 30 mii lei;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-La Cap. 65.02 “Invatamant” creditele bugetare pentru bunuri si servicii se majoreaza cu suma de 15 mii lei la Seminarul teologic si cu 20 mii lei la Gradinita cu program prelungit “Academia Piticilor”;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-La Cap. 66.02 “Sanatate” creditele bugetare pentru actiuni de sanatate (51.01.03) se majoreaza cu suma de 85 mii lei.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u w:val="single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u w:val="single"/>
          <w:lang w:val="es-ES"/>
        </w:rPr>
        <w:t xml:space="preserve">Sectiunea de </w:t>
      </w:r>
      <w:r>
        <w:rPr>
          <w:rFonts w:ascii="Tahoma" w:hAnsi="Tahoma" w:cs="Tahoma"/>
          <w:b/>
          <w:sz w:val="18"/>
          <w:szCs w:val="18"/>
          <w:u w:val="single"/>
          <w:lang w:val="es-ES"/>
        </w:rPr>
        <w:t>dezvoltare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>Venituri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-Finantarea din programul national de dezvoltare locala (42.02.65)</w:t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>=903 mii lei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>Cheltuieli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-Cheltuielile de capital se majoreaza la scap. 68.02.50 cu suma de 18 mii lei pentru obiectivul “Sistem de supraveghere video” in suma de 18 mii lei;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 xml:space="preserve">-Cheltuielile de capital de la scap. 74.02.06 – Canalizarea si tratarea apelor reziduale </w:t>
      </w:r>
      <w:r>
        <w:rPr>
          <w:rFonts w:ascii="Tahoma" w:hAnsi="Tahoma" w:cs="Tahoma"/>
          <w:sz w:val="18"/>
          <w:szCs w:val="18"/>
          <w:lang w:val="es-ES"/>
        </w:rPr>
        <w:t xml:space="preserve">- </w:t>
      </w:r>
      <w:r w:rsidRPr="00177FBF">
        <w:rPr>
          <w:rFonts w:ascii="Tahoma" w:hAnsi="Tahoma" w:cs="Tahoma"/>
          <w:sz w:val="18"/>
          <w:szCs w:val="18"/>
          <w:lang w:val="es-ES"/>
        </w:rPr>
        <w:t xml:space="preserve">se majoreaza cu suma de 1.003 mii lei, la art. 71.01.01 pentru obiectivul “Statie de epurare cu treapta </w:t>
      </w:r>
      <w:r>
        <w:rPr>
          <w:rFonts w:ascii="Tahoma" w:hAnsi="Tahoma" w:cs="Tahoma"/>
          <w:sz w:val="18"/>
          <w:szCs w:val="18"/>
          <w:lang w:val="es-ES"/>
        </w:rPr>
        <w:t>meca</w:t>
      </w:r>
      <w:r w:rsidRPr="00177FBF">
        <w:rPr>
          <w:rFonts w:ascii="Tahoma" w:hAnsi="Tahoma" w:cs="Tahoma"/>
          <w:sz w:val="18"/>
          <w:szCs w:val="18"/>
          <w:lang w:val="es-ES"/>
        </w:rPr>
        <w:t xml:space="preserve">nica, </w:t>
      </w:r>
      <w:r>
        <w:rPr>
          <w:rFonts w:ascii="Tahoma" w:hAnsi="Tahoma" w:cs="Tahoma"/>
          <w:sz w:val="18"/>
          <w:szCs w:val="18"/>
          <w:lang w:val="es-ES"/>
        </w:rPr>
        <w:t>biolo</w:t>
      </w:r>
      <w:r w:rsidRPr="00177FBF">
        <w:rPr>
          <w:rFonts w:ascii="Tahoma" w:hAnsi="Tahoma" w:cs="Tahoma"/>
          <w:sz w:val="18"/>
          <w:szCs w:val="18"/>
          <w:lang w:val="es-ES"/>
        </w:rPr>
        <w:t>gica si tertiara si instalatie de primire vidanja in Municipiul Curtea de Arges”</w:t>
      </w:r>
      <w:r>
        <w:rPr>
          <w:rFonts w:ascii="Tahoma" w:hAnsi="Tahoma" w:cs="Tahoma"/>
          <w:sz w:val="18"/>
          <w:szCs w:val="18"/>
          <w:lang w:val="es-ES"/>
        </w:rPr>
        <w:t>.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 xml:space="preserve">(2) </w:t>
      </w:r>
      <w:r w:rsidRPr="00177FBF">
        <w:rPr>
          <w:rFonts w:ascii="Tahoma" w:hAnsi="Tahoma" w:cs="Tahoma"/>
          <w:sz w:val="18"/>
          <w:szCs w:val="18"/>
          <w:lang w:val="es-ES"/>
        </w:rPr>
        <w:t>Lista de investitii se modifica potrivit prevederilor de la alin. (1).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u w:val="single"/>
          <w:lang w:val="es-ES"/>
        </w:rPr>
        <w:t>Art. 2</w:t>
      </w:r>
      <w:r w:rsidRPr="00177FBF">
        <w:rPr>
          <w:rFonts w:ascii="Tahoma" w:hAnsi="Tahoma" w:cs="Tahoma"/>
          <w:sz w:val="18"/>
          <w:szCs w:val="18"/>
          <w:lang w:val="es-ES"/>
        </w:rPr>
        <w:t xml:space="preserve"> Se aproba utilizarea din excedentul anilor precedenti a sumei de 118 mii lei in vederea echilibrarii sectiunii de dezvoltare.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u w:val="single"/>
          <w:lang w:val="es-ES"/>
        </w:rPr>
        <w:t>Art. 3</w:t>
      </w:r>
      <w:r w:rsidRPr="00177FBF">
        <w:rPr>
          <w:rFonts w:ascii="Tahoma" w:hAnsi="Tahoma" w:cs="Tahoma"/>
          <w:sz w:val="18"/>
          <w:szCs w:val="18"/>
          <w:lang w:val="es-ES"/>
        </w:rPr>
        <w:t xml:space="preserve"> </w:t>
      </w:r>
      <w:r w:rsidRPr="00132561">
        <w:rPr>
          <w:rFonts w:ascii="Tahoma" w:hAnsi="Tahoma" w:cs="Tahoma"/>
          <w:b/>
          <w:sz w:val="18"/>
          <w:szCs w:val="18"/>
          <w:lang w:val="es-ES"/>
        </w:rPr>
        <w:t>(1)</w:t>
      </w:r>
      <w:r w:rsidRPr="00177FBF">
        <w:rPr>
          <w:rFonts w:ascii="Tahoma" w:hAnsi="Tahoma" w:cs="Tahoma"/>
          <w:sz w:val="18"/>
          <w:szCs w:val="18"/>
          <w:lang w:val="es-ES"/>
        </w:rPr>
        <w:t xml:space="preserve"> Se aproba rectificarea Bugetului institutiilor finantate integral sau partial din venituri proprii astfel: </w:t>
      </w:r>
    </w:p>
    <w:p w:rsidR="004001A1" w:rsidRPr="00177FBF" w:rsidRDefault="004001A1" w:rsidP="004001A1">
      <w:pPr>
        <w:ind w:firstLine="708"/>
        <w:jc w:val="both"/>
        <w:rPr>
          <w:rFonts w:ascii="Tahoma" w:hAnsi="Tahoma" w:cs="Tahoma"/>
          <w:b/>
          <w:sz w:val="18"/>
          <w:szCs w:val="18"/>
          <w:u w:val="single"/>
          <w:lang w:val="es-ES"/>
        </w:rPr>
      </w:pPr>
      <w:r w:rsidRPr="00177FBF">
        <w:rPr>
          <w:rFonts w:ascii="Tahoma" w:hAnsi="Tahoma" w:cs="Tahoma"/>
          <w:b/>
          <w:sz w:val="18"/>
          <w:szCs w:val="18"/>
          <w:u w:val="single"/>
          <w:lang w:val="es-ES"/>
        </w:rPr>
        <w:t xml:space="preserve">Sectiunea de functionare 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>Venituri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 xml:space="preserve">-Subventii din </w:t>
      </w:r>
      <w:r>
        <w:rPr>
          <w:rFonts w:ascii="Tahoma" w:hAnsi="Tahoma" w:cs="Tahoma"/>
          <w:sz w:val="18"/>
          <w:szCs w:val="18"/>
          <w:lang w:val="es-ES"/>
        </w:rPr>
        <w:t>bu</w:t>
      </w:r>
      <w:r w:rsidRPr="00177FBF">
        <w:rPr>
          <w:rFonts w:ascii="Tahoma" w:hAnsi="Tahoma" w:cs="Tahoma"/>
          <w:sz w:val="18"/>
          <w:szCs w:val="18"/>
          <w:lang w:val="es-ES"/>
        </w:rPr>
        <w:t>getele locale pentru finantarea cheltuielilor curente din domeniul sanatatii (43.10.10), se majoreaza cu suma de 85 mii lei.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b/>
          <w:sz w:val="18"/>
          <w:szCs w:val="18"/>
          <w:lang w:val="es-ES"/>
        </w:rPr>
        <w:t>Cheltuieli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b/>
          <w:sz w:val="18"/>
          <w:szCs w:val="18"/>
          <w:lang w:val="es-ES"/>
        </w:rPr>
        <w:tab/>
        <w:t>-</w:t>
      </w:r>
      <w:r w:rsidRPr="00177FBF">
        <w:rPr>
          <w:rFonts w:ascii="Tahoma" w:hAnsi="Tahoma" w:cs="Tahoma"/>
          <w:sz w:val="18"/>
          <w:szCs w:val="18"/>
          <w:lang w:val="es-ES"/>
        </w:rPr>
        <w:t>Cheltuieli cu bunuri si servicii de la scap. 66.10.06.01 Spitale generale se majoreaza cu suma de 85 mii lei, dupa cum urmeaza: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-alin. 20.01.03</w:t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  <w:t>+25 mii lei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  <w:t xml:space="preserve">-alin. </w:t>
      </w:r>
      <w:r>
        <w:rPr>
          <w:rFonts w:ascii="Tahoma" w:hAnsi="Tahoma" w:cs="Tahoma"/>
          <w:sz w:val="18"/>
          <w:szCs w:val="18"/>
          <w:lang w:val="es-ES"/>
        </w:rPr>
        <w:t>20.01.04</w:t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  <w:t>+35 mii lei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  <w:t>-alin. 20.01.30</w:t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  <w:t>+25 mii lei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32561">
        <w:rPr>
          <w:rFonts w:ascii="Tahoma" w:hAnsi="Tahoma" w:cs="Tahoma"/>
          <w:b/>
          <w:sz w:val="18"/>
          <w:szCs w:val="18"/>
          <w:lang w:val="es-ES"/>
        </w:rPr>
        <w:t>(2)</w:t>
      </w:r>
      <w:r w:rsidRPr="00177FBF">
        <w:rPr>
          <w:rFonts w:ascii="Tahoma" w:hAnsi="Tahoma" w:cs="Tahoma"/>
          <w:sz w:val="18"/>
          <w:szCs w:val="18"/>
          <w:lang w:val="es-ES"/>
        </w:rPr>
        <w:t xml:space="preserve"> Lista de investitii se modifica prin renuntarea la obiectivul “Microton” in valoare de 53.4 mii lei si includerea urmatoarelor bunuri:</w:t>
      </w: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-Monitor functii vitale ATI in suma de 47.4 mii lei;</w:t>
      </w:r>
    </w:p>
    <w:p w:rsidR="004001A1" w:rsidRPr="00177FBF" w:rsidRDefault="004001A1" w:rsidP="004001A1">
      <w:pPr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177FBF">
        <w:rPr>
          <w:rFonts w:ascii="Tahoma" w:hAnsi="Tahoma" w:cs="Tahoma"/>
          <w:sz w:val="18"/>
          <w:szCs w:val="18"/>
          <w:lang w:val="es-ES"/>
        </w:rPr>
        <w:tab/>
        <w:t>-Masina de curatat cartofi in valoare de 6 mii lei.</w:t>
      </w:r>
      <w:r w:rsidRPr="00177FBF">
        <w:rPr>
          <w:rFonts w:ascii="Tahoma" w:hAnsi="Tahoma" w:cs="Tahoma"/>
          <w:sz w:val="18"/>
          <w:szCs w:val="18"/>
          <w:lang w:val="es-ES"/>
        </w:rPr>
        <w:tab/>
      </w:r>
      <w:r w:rsidRPr="00177FBF">
        <w:rPr>
          <w:rFonts w:ascii="Tahoma" w:hAnsi="Tahoma" w:cs="Tahoma"/>
          <w:sz w:val="18"/>
          <w:szCs w:val="18"/>
          <w:lang w:val="es-ES"/>
        </w:rPr>
        <w:tab/>
      </w:r>
    </w:p>
    <w:p w:rsidR="004001A1" w:rsidRDefault="004001A1" w:rsidP="004001A1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001A1" w:rsidRPr="00B83512" w:rsidRDefault="004001A1" w:rsidP="004001A1">
      <w:pPr>
        <w:ind w:left="4944" w:firstLine="720"/>
        <w:rPr>
          <w:rFonts w:ascii="Tahoma" w:hAnsi="Tahoma" w:cs="Tahoma"/>
          <w:sz w:val="18"/>
          <w:szCs w:val="18"/>
          <w:lang w:val="es-ES"/>
        </w:rPr>
      </w:pPr>
      <w:r w:rsidRPr="00B83512">
        <w:rPr>
          <w:rFonts w:ascii="Tahoma" w:hAnsi="Tahoma" w:cs="Tahoma"/>
          <w:sz w:val="18"/>
          <w:szCs w:val="18"/>
          <w:lang w:val="es-ES"/>
        </w:rPr>
        <w:t xml:space="preserve">          </w:t>
      </w:r>
      <w:r>
        <w:rPr>
          <w:rFonts w:ascii="Tahoma" w:hAnsi="Tahoma" w:cs="Tahoma"/>
          <w:sz w:val="18"/>
          <w:szCs w:val="18"/>
          <w:lang w:val="es-ES"/>
        </w:rPr>
        <w:t xml:space="preserve">            </w:t>
      </w:r>
      <w:r w:rsidRPr="00B83512">
        <w:rPr>
          <w:rFonts w:ascii="Tahoma" w:hAnsi="Tahoma" w:cs="Tahoma"/>
          <w:sz w:val="18"/>
          <w:szCs w:val="18"/>
          <w:lang w:val="es-ES"/>
        </w:rPr>
        <w:t>Contrasemneaza</w:t>
      </w:r>
    </w:p>
    <w:p w:rsidR="004001A1" w:rsidRPr="00B83512" w:rsidRDefault="004001A1" w:rsidP="004001A1">
      <w:pPr>
        <w:ind w:firstLine="708"/>
        <w:rPr>
          <w:rFonts w:ascii="Tahoma" w:hAnsi="Tahoma" w:cs="Tahoma"/>
          <w:sz w:val="18"/>
          <w:szCs w:val="18"/>
          <w:lang w:val="es-ES"/>
        </w:rPr>
      </w:pPr>
      <w:r w:rsidRPr="00B83512">
        <w:rPr>
          <w:rFonts w:ascii="Tahoma" w:hAnsi="Tahoma" w:cs="Tahoma"/>
          <w:b/>
          <w:sz w:val="18"/>
          <w:szCs w:val="18"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sz w:val="18"/>
          <w:szCs w:val="18"/>
          <w:lang w:val="es-ES"/>
        </w:rPr>
        <w:t xml:space="preserve">                                             </w:t>
      </w:r>
      <w:r w:rsidRPr="00B83512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r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r w:rsidRPr="00B83512">
        <w:rPr>
          <w:rFonts w:ascii="Tahoma" w:hAnsi="Tahoma" w:cs="Tahoma"/>
          <w:b/>
          <w:sz w:val="18"/>
          <w:szCs w:val="18"/>
          <w:lang w:val="es-ES"/>
        </w:rPr>
        <w:t>Secretar Municipiu</w:t>
      </w:r>
    </w:p>
    <w:p w:rsidR="004001A1" w:rsidRPr="00B83512" w:rsidRDefault="004001A1" w:rsidP="004001A1">
      <w:pPr>
        <w:rPr>
          <w:rFonts w:ascii="Tahoma" w:hAnsi="Tahoma" w:cs="Tahoma"/>
          <w:sz w:val="18"/>
          <w:szCs w:val="18"/>
          <w:lang w:val="es-ES"/>
        </w:rPr>
      </w:pPr>
      <w:r w:rsidRPr="00B83512">
        <w:rPr>
          <w:rFonts w:ascii="Tahoma" w:hAnsi="Tahoma" w:cs="Tahoma"/>
          <w:sz w:val="18"/>
          <w:szCs w:val="18"/>
          <w:lang w:val="es-ES"/>
        </w:rPr>
        <w:t xml:space="preserve">           </w:t>
      </w:r>
      <w:r>
        <w:rPr>
          <w:rFonts w:ascii="Tahoma" w:hAnsi="Tahoma" w:cs="Tahoma"/>
          <w:sz w:val="18"/>
          <w:szCs w:val="18"/>
          <w:lang w:val="es-ES"/>
        </w:rPr>
        <w:t xml:space="preserve">     </w:t>
      </w:r>
      <w:r w:rsidRPr="00B83512">
        <w:rPr>
          <w:rFonts w:ascii="Tahoma" w:hAnsi="Tahoma" w:cs="Tahoma"/>
          <w:sz w:val="18"/>
          <w:szCs w:val="18"/>
          <w:lang w:val="es-ES"/>
        </w:rPr>
        <w:t xml:space="preserve"> DUMITRACHE STEFAN                                 </w:t>
      </w:r>
      <w:r>
        <w:rPr>
          <w:rFonts w:ascii="Tahoma" w:hAnsi="Tahoma" w:cs="Tahoma"/>
          <w:sz w:val="18"/>
          <w:szCs w:val="18"/>
          <w:lang w:val="es-ES"/>
        </w:rPr>
        <w:t xml:space="preserve">                                           </w:t>
      </w:r>
      <w:r w:rsidRPr="00B83512">
        <w:rPr>
          <w:rFonts w:ascii="Tahoma" w:hAnsi="Tahoma" w:cs="Tahoma"/>
          <w:sz w:val="18"/>
          <w:szCs w:val="18"/>
          <w:lang w:val="es-ES"/>
        </w:rPr>
        <w:t>CHIRCA RADU</w:t>
      </w:r>
    </w:p>
    <w:p w:rsidR="004001A1" w:rsidRDefault="004001A1" w:rsidP="004001A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001A1" w:rsidRPr="00177FBF" w:rsidRDefault="004001A1" w:rsidP="004001A1">
      <w:pPr>
        <w:jc w:val="both"/>
        <w:rPr>
          <w:rFonts w:ascii="Tahoma" w:hAnsi="Tahoma" w:cs="Tahoma"/>
          <w:sz w:val="18"/>
          <w:szCs w:val="18"/>
          <w:lang w:val="es-ES"/>
        </w:rPr>
      </w:pPr>
    </w:p>
    <w:p w:rsidR="004001A1" w:rsidRDefault="004001A1" w:rsidP="004001A1">
      <w:pPr>
        <w:jc w:val="both"/>
        <w:rPr>
          <w:rFonts w:ascii="Tahoma" w:hAnsi="Tahoma" w:cs="Tahoma"/>
          <w:i/>
          <w:color w:val="000000"/>
          <w:sz w:val="18"/>
          <w:szCs w:val="18"/>
          <w:lang w:val="es-ES"/>
        </w:rPr>
      </w:pPr>
    </w:p>
    <w:p w:rsidR="004001A1" w:rsidRDefault="004001A1" w:rsidP="004001A1">
      <w:pPr>
        <w:jc w:val="both"/>
        <w:rPr>
          <w:rFonts w:ascii="Tahoma" w:hAnsi="Tahoma" w:cs="Tahoma"/>
          <w:i/>
          <w:color w:val="000000"/>
          <w:sz w:val="18"/>
          <w:szCs w:val="18"/>
          <w:lang w:val="es-ES"/>
        </w:rPr>
      </w:pPr>
    </w:p>
    <w:p w:rsidR="004001A1" w:rsidRDefault="004001A1" w:rsidP="004001A1">
      <w:pPr>
        <w:jc w:val="both"/>
        <w:rPr>
          <w:rFonts w:ascii="Tahoma" w:hAnsi="Tahoma" w:cs="Tahoma"/>
          <w:i/>
          <w:color w:val="000000"/>
          <w:sz w:val="18"/>
          <w:szCs w:val="18"/>
          <w:lang w:val="es-ES"/>
        </w:rPr>
      </w:pPr>
    </w:p>
    <w:p w:rsidR="00641FF7" w:rsidRPr="004001A1" w:rsidRDefault="004001A1" w:rsidP="004001A1">
      <w:pPr>
        <w:jc w:val="both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i/>
          <w:color w:val="000000"/>
          <w:sz w:val="18"/>
          <w:szCs w:val="18"/>
          <w:lang w:val="es-ES"/>
        </w:rPr>
        <w:t>Curtea de Arges – 30</w:t>
      </w:r>
      <w:r w:rsidRPr="00177FBF">
        <w:rPr>
          <w:rFonts w:ascii="Tahoma" w:hAnsi="Tahoma" w:cs="Tahoma"/>
          <w:i/>
          <w:color w:val="000000"/>
          <w:sz w:val="18"/>
          <w:szCs w:val="1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18"/>
          <w:szCs w:val="18"/>
          <w:lang w:val="es-ES"/>
        </w:rPr>
        <w:t xml:space="preserve"> septembrie </w:t>
      </w:r>
      <w:r w:rsidRPr="00177FBF">
        <w:rPr>
          <w:rFonts w:ascii="Tahoma" w:hAnsi="Tahoma" w:cs="Tahoma"/>
          <w:i/>
          <w:color w:val="000000"/>
          <w:sz w:val="18"/>
          <w:szCs w:val="18"/>
          <w:lang w:val="es-ES"/>
        </w:rPr>
        <w:t>2015</w:t>
      </w:r>
    </w:p>
    <w:sectPr w:rsidR="00641FF7" w:rsidRPr="004001A1" w:rsidSect="00A500D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85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4DA0"/>
    <w:rsid w:val="000450AB"/>
    <w:rsid w:val="00046893"/>
    <w:rsid w:val="00046BD0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8705C"/>
    <w:rsid w:val="00090A4B"/>
    <w:rsid w:val="00093A75"/>
    <w:rsid w:val="0009630F"/>
    <w:rsid w:val="000A065E"/>
    <w:rsid w:val="000A0773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3A98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31C3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0F33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6BEA"/>
    <w:rsid w:val="00187662"/>
    <w:rsid w:val="0019308E"/>
    <w:rsid w:val="00193916"/>
    <w:rsid w:val="001A2830"/>
    <w:rsid w:val="001A2A81"/>
    <w:rsid w:val="001A5122"/>
    <w:rsid w:val="001A62F7"/>
    <w:rsid w:val="001A77BE"/>
    <w:rsid w:val="001B15D6"/>
    <w:rsid w:val="001B2DB5"/>
    <w:rsid w:val="001B38BA"/>
    <w:rsid w:val="001B53A9"/>
    <w:rsid w:val="001B6C98"/>
    <w:rsid w:val="001B703D"/>
    <w:rsid w:val="001B7561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1598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3497"/>
    <w:rsid w:val="001F496D"/>
    <w:rsid w:val="00201546"/>
    <w:rsid w:val="00202E95"/>
    <w:rsid w:val="00204815"/>
    <w:rsid w:val="00205570"/>
    <w:rsid w:val="0020793C"/>
    <w:rsid w:val="00207D5D"/>
    <w:rsid w:val="00212389"/>
    <w:rsid w:val="002125F0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3599"/>
    <w:rsid w:val="002355D8"/>
    <w:rsid w:val="002371D4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9741F"/>
    <w:rsid w:val="002975B9"/>
    <w:rsid w:val="002A017A"/>
    <w:rsid w:val="002A1616"/>
    <w:rsid w:val="002A3AF8"/>
    <w:rsid w:val="002A413C"/>
    <w:rsid w:val="002A76BB"/>
    <w:rsid w:val="002B0469"/>
    <w:rsid w:val="002B166E"/>
    <w:rsid w:val="002B3393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09E1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E7D31"/>
    <w:rsid w:val="002F00C5"/>
    <w:rsid w:val="002F106A"/>
    <w:rsid w:val="002F2244"/>
    <w:rsid w:val="002F4A65"/>
    <w:rsid w:val="002F691D"/>
    <w:rsid w:val="00300E45"/>
    <w:rsid w:val="00300EAE"/>
    <w:rsid w:val="00300F09"/>
    <w:rsid w:val="00302B0E"/>
    <w:rsid w:val="003048A8"/>
    <w:rsid w:val="003061B5"/>
    <w:rsid w:val="00306A3C"/>
    <w:rsid w:val="00307142"/>
    <w:rsid w:val="00310E5E"/>
    <w:rsid w:val="00312183"/>
    <w:rsid w:val="00315D68"/>
    <w:rsid w:val="003239FB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598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8C1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2BB"/>
    <w:rsid w:val="003F3425"/>
    <w:rsid w:val="003F4942"/>
    <w:rsid w:val="003F519B"/>
    <w:rsid w:val="003F62D1"/>
    <w:rsid w:val="003F6409"/>
    <w:rsid w:val="003F659F"/>
    <w:rsid w:val="004001A1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396A"/>
    <w:rsid w:val="004245E3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4E3D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4AF3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0B46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54FE"/>
    <w:rsid w:val="005063EB"/>
    <w:rsid w:val="005079C8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47DE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0A7E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58FB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E7225"/>
    <w:rsid w:val="006F0795"/>
    <w:rsid w:val="006F0797"/>
    <w:rsid w:val="006F0F58"/>
    <w:rsid w:val="006F3171"/>
    <w:rsid w:val="006F5127"/>
    <w:rsid w:val="006F6F93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4DFD"/>
    <w:rsid w:val="00717DED"/>
    <w:rsid w:val="00720423"/>
    <w:rsid w:val="007213F4"/>
    <w:rsid w:val="0072243B"/>
    <w:rsid w:val="007239E7"/>
    <w:rsid w:val="00724708"/>
    <w:rsid w:val="00724756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6C3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2724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8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5D32"/>
    <w:rsid w:val="008760DC"/>
    <w:rsid w:val="0087799E"/>
    <w:rsid w:val="00877AF5"/>
    <w:rsid w:val="008818B8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358D"/>
    <w:rsid w:val="008B59FB"/>
    <w:rsid w:val="008B608F"/>
    <w:rsid w:val="008C18CF"/>
    <w:rsid w:val="008C2751"/>
    <w:rsid w:val="008C303A"/>
    <w:rsid w:val="008C36CC"/>
    <w:rsid w:val="008C4570"/>
    <w:rsid w:val="008D08EC"/>
    <w:rsid w:val="008D0C3B"/>
    <w:rsid w:val="008D1ABD"/>
    <w:rsid w:val="008E05EA"/>
    <w:rsid w:val="008E104B"/>
    <w:rsid w:val="008E1109"/>
    <w:rsid w:val="008E14B1"/>
    <w:rsid w:val="008E266F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0555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6BC2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60A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298B"/>
    <w:rsid w:val="009E4CE6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1776F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1375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A6775"/>
    <w:rsid w:val="00AB10BD"/>
    <w:rsid w:val="00AB276F"/>
    <w:rsid w:val="00AB3C45"/>
    <w:rsid w:val="00AB4A1A"/>
    <w:rsid w:val="00AB6585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0E85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737"/>
    <w:rsid w:val="00BC0D1C"/>
    <w:rsid w:val="00BC0E58"/>
    <w:rsid w:val="00BC1D87"/>
    <w:rsid w:val="00BC302F"/>
    <w:rsid w:val="00BC431F"/>
    <w:rsid w:val="00BC4428"/>
    <w:rsid w:val="00BC570E"/>
    <w:rsid w:val="00BC6533"/>
    <w:rsid w:val="00BD2643"/>
    <w:rsid w:val="00BD58D7"/>
    <w:rsid w:val="00BE59E5"/>
    <w:rsid w:val="00BE6903"/>
    <w:rsid w:val="00BE6B55"/>
    <w:rsid w:val="00BF2841"/>
    <w:rsid w:val="00BF3060"/>
    <w:rsid w:val="00BF3A53"/>
    <w:rsid w:val="00BF45EB"/>
    <w:rsid w:val="00BF5C01"/>
    <w:rsid w:val="00BF6C07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3D40"/>
    <w:rsid w:val="00C54240"/>
    <w:rsid w:val="00C54A07"/>
    <w:rsid w:val="00C602AA"/>
    <w:rsid w:val="00C60DB5"/>
    <w:rsid w:val="00C67BBF"/>
    <w:rsid w:val="00C71288"/>
    <w:rsid w:val="00C72123"/>
    <w:rsid w:val="00C72A91"/>
    <w:rsid w:val="00C72C42"/>
    <w:rsid w:val="00C75EDA"/>
    <w:rsid w:val="00C77DFF"/>
    <w:rsid w:val="00C829D3"/>
    <w:rsid w:val="00C85667"/>
    <w:rsid w:val="00C85AD6"/>
    <w:rsid w:val="00C85D4F"/>
    <w:rsid w:val="00C866EE"/>
    <w:rsid w:val="00C8686A"/>
    <w:rsid w:val="00C87797"/>
    <w:rsid w:val="00C932C2"/>
    <w:rsid w:val="00C96EF5"/>
    <w:rsid w:val="00C971EF"/>
    <w:rsid w:val="00C9726C"/>
    <w:rsid w:val="00CA1301"/>
    <w:rsid w:val="00CA1CD9"/>
    <w:rsid w:val="00CA3796"/>
    <w:rsid w:val="00CB3D53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61E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584B"/>
    <w:rsid w:val="00D976FE"/>
    <w:rsid w:val="00DA0EE4"/>
    <w:rsid w:val="00DA1F09"/>
    <w:rsid w:val="00DA3371"/>
    <w:rsid w:val="00DA3ABE"/>
    <w:rsid w:val="00DA468C"/>
    <w:rsid w:val="00DA5C7B"/>
    <w:rsid w:val="00DA6F79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588A"/>
    <w:rsid w:val="00DF69E3"/>
    <w:rsid w:val="00E00D09"/>
    <w:rsid w:val="00E02255"/>
    <w:rsid w:val="00E02311"/>
    <w:rsid w:val="00E0276F"/>
    <w:rsid w:val="00E02FB5"/>
    <w:rsid w:val="00E0366C"/>
    <w:rsid w:val="00E03CB6"/>
    <w:rsid w:val="00E06046"/>
    <w:rsid w:val="00E0632C"/>
    <w:rsid w:val="00E11528"/>
    <w:rsid w:val="00E11CD4"/>
    <w:rsid w:val="00E132DA"/>
    <w:rsid w:val="00E137A5"/>
    <w:rsid w:val="00E17FB9"/>
    <w:rsid w:val="00E2012F"/>
    <w:rsid w:val="00E208D3"/>
    <w:rsid w:val="00E21F45"/>
    <w:rsid w:val="00E2233D"/>
    <w:rsid w:val="00E22D57"/>
    <w:rsid w:val="00E23C0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63"/>
    <w:rsid w:val="00E446B5"/>
    <w:rsid w:val="00E45735"/>
    <w:rsid w:val="00E51CC0"/>
    <w:rsid w:val="00E52889"/>
    <w:rsid w:val="00E52E5A"/>
    <w:rsid w:val="00E551A3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17DF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9F8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3CE2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5027"/>
    <w:rsid w:val="00F37034"/>
    <w:rsid w:val="00F4051A"/>
    <w:rsid w:val="00F408DC"/>
    <w:rsid w:val="00F40D7C"/>
    <w:rsid w:val="00F41CB6"/>
    <w:rsid w:val="00F41D56"/>
    <w:rsid w:val="00F42D3B"/>
    <w:rsid w:val="00F451BD"/>
    <w:rsid w:val="00F46B51"/>
    <w:rsid w:val="00F50959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0420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327E"/>
    <w:rsid w:val="00FC4337"/>
    <w:rsid w:val="00FC60B1"/>
    <w:rsid w:val="00FC63D7"/>
    <w:rsid w:val="00FC70C3"/>
    <w:rsid w:val="00FD0111"/>
    <w:rsid w:val="00FD0E4E"/>
    <w:rsid w:val="00FD2E30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18CD-791F-4C31-82BC-D13475D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001A1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001A1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001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001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001A1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001A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2015-10-07T08:56:00Z</dcterms:created>
  <dcterms:modified xsi:type="dcterms:W3CDTF">2015-10-07T08:57:00Z</dcterms:modified>
</cp:coreProperties>
</file>